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96" w:rsidRDefault="00486A96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</w:p>
    <w:p w:rsidR="00935CBD" w:rsidRPr="00935CBD" w:rsidRDefault="00935CBD" w:rsidP="00935CBD">
      <w:pPr>
        <w:ind w:hanging="851"/>
        <w:jc w:val="right"/>
        <w:rPr>
          <w:rFonts w:eastAsia="Calibri"/>
          <w:bCs/>
          <w:iCs/>
          <w:sz w:val="28"/>
          <w:szCs w:val="28"/>
          <w:lang w:val="ro-RO"/>
        </w:rPr>
      </w:pPr>
      <w:r w:rsidRPr="00935CBD">
        <w:rPr>
          <w:rFonts w:eastAsia="Calibri"/>
          <w:bCs/>
          <w:iCs/>
          <w:sz w:val="28"/>
          <w:szCs w:val="28"/>
          <w:lang w:val="ro-RO"/>
        </w:rPr>
        <w:t>Tabelul nr. 1</w:t>
      </w:r>
    </w:p>
    <w:p w:rsidR="00935CBD" w:rsidRPr="00935CBD" w:rsidRDefault="00935CBD" w:rsidP="00935CBD">
      <w:pPr>
        <w:ind w:firstLine="567"/>
        <w:jc w:val="right"/>
        <w:rPr>
          <w:rFonts w:eastAsia="Calibri"/>
          <w:bCs/>
          <w:iCs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935CBD" w:rsidRDefault="00935CBD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  <w:r w:rsidRPr="00935CBD">
        <w:rPr>
          <w:rFonts w:eastAsia="Calibri"/>
          <w:b/>
          <w:bCs/>
          <w:iCs/>
          <w:sz w:val="28"/>
          <w:szCs w:val="28"/>
          <w:lang w:val="ro-RO"/>
        </w:rPr>
        <w:t>Indica</w:t>
      </w:r>
      <w:r w:rsidR="00420C14">
        <w:rPr>
          <w:rFonts w:eastAsia="Calibri"/>
          <w:b/>
          <w:bCs/>
          <w:iCs/>
          <w:sz w:val="28"/>
          <w:szCs w:val="28"/>
          <w:lang w:val="ro-RO"/>
        </w:rPr>
        <w:t>torii macroeconomici pe anii 202</w:t>
      </w:r>
      <w:r w:rsidR="00646B03">
        <w:rPr>
          <w:rFonts w:eastAsia="Calibri"/>
          <w:b/>
          <w:bCs/>
          <w:iCs/>
          <w:sz w:val="28"/>
          <w:szCs w:val="28"/>
          <w:lang w:val="ro-RO"/>
        </w:rPr>
        <w:t>1</w:t>
      </w:r>
      <w:r w:rsidRPr="00935CBD">
        <w:rPr>
          <w:rFonts w:eastAsia="Calibri"/>
          <w:b/>
          <w:bCs/>
          <w:iCs/>
          <w:sz w:val="28"/>
          <w:szCs w:val="28"/>
          <w:lang w:val="ro-RO"/>
        </w:rPr>
        <w:t>-202</w:t>
      </w:r>
      <w:r w:rsidR="00646B03">
        <w:rPr>
          <w:rFonts w:eastAsia="Calibri"/>
          <w:b/>
          <w:bCs/>
          <w:iCs/>
          <w:sz w:val="28"/>
          <w:szCs w:val="28"/>
          <w:lang w:val="ro-RO"/>
        </w:rPr>
        <w:t>7</w:t>
      </w:r>
    </w:p>
    <w:p w:rsidR="00493C33" w:rsidRPr="00935CBD" w:rsidRDefault="00493C33" w:rsidP="00935CBD">
      <w:pPr>
        <w:ind w:firstLine="567"/>
        <w:jc w:val="center"/>
        <w:rPr>
          <w:rFonts w:eastAsia="Calibri"/>
          <w:b/>
          <w:bCs/>
          <w:iCs/>
          <w:sz w:val="28"/>
          <w:szCs w:val="28"/>
          <w:lang w:val="ro-RO"/>
        </w:rPr>
      </w:pPr>
    </w:p>
    <w:p w:rsidR="00EC6149" w:rsidRPr="00935CBD" w:rsidRDefault="00EC6149" w:rsidP="00EC6149">
      <w:pPr>
        <w:jc w:val="center"/>
        <w:rPr>
          <w:i/>
          <w:szCs w:val="24"/>
          <w:lang w:val="ro-RO" w:eastAsia="ru-RU"/>
        </w:rPr>
      </w:pPr>
    </w:p>
    <w:tbl>
      <w:tblPr>
        <w:tblW w:w="104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35"/>
        <w:gridCol w:w="851"/>
        <w:gridCol w:w="850"/>
        <w:gridCol w:w="852"/>
        <w:gridCol w:w="992"/>
        <w:gridCol w:w="851"/>
        <w:gridCol w:w="992"/>
        <w:gridCol w:w="992"/>
      </w:tblGrid>
      <w:tr w:rsidR="00935CBD" w:rsidRPr="00364559" w:rsidTr="00646B03">
        <w:trPr>
          <w:trHeight w:val="234"/>
          <w:tblHeader/>
          <w:jc w:val="center"/>
        </w:trPr>
        <w:tc>
          <w:tcPr>
            <w:tcW w:w="2970" w:type="dxa"/>
            <w:vAlign w:val="center"/>
          </w:tcPr>
          <w:p w:rsidR="00935CBD" w:rsidRPr="00493C33" w:rsidRDefault="00935CBD" w:rsidP="00B5348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Indicatori</w:t>
            </w:r>
          </w:p>
        </w:tc>
        <w:tc>
          <w:tcPr>
            <w:tcW w:w="1135" w:type="dxa"/>
            <w:vAlign w:val="bottom"/>
          </w:tcPr>
          <w:p w:rsidR="00935CBD" w:rsidRPr="00493C33" w:rsidRDefault="00935CBD" w:rsidP="00B5348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Unitatea de măsură</w:t>
            </w:r>
          </w:p>
        </w:tc>
        <w:tc>
          <w:tcPr>
            <w:tcW w:w="851" w:type="dxa"/>
            <w:vAlign w:val="center"/>
          </w:tcPr>
          <w:p w:rsidR="00935CBD" w:rsidRPr="00493C33" w:rsidRDefault="00420C14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935CBD" w:rsidRPr="00493C33" w:rsidRDefault="00CE4227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</w:t>
            </w:r>
            <w:r w:rsidR="00420C14">
              <w:rPr>
                <w:b/>
                <w:bCs/>
                <w:lang w:val="ro-MD" w:eastAsia="ru-RU"/>
              </w:rPr>
              <w:t>02</w:t>
            </w:r>
            <w:r w:rsidR="0068615C">
              <w:rPr>
                <w:b/>
                <w:bCs/>
                <w:lang w:val="ro-MD" w:eastAsia="ru-RU"/>
              </w:rPr>
              <w:t>2</w:t>
            </w:r>
          </w:p>
        </w:tc>
        <w:tc>
          <w:tcPr>
            <w:tcW w:w="852" w:type="dxa"/>
            <w:vAlign w:val="center"/>
          </w:tcPr>
          <w:p w:rsidR="00935CBD" w:rsidRPr="00493C33" w:rsidRDefault="00420C14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935CBD" w:rsidRPr="00493C33" w:rsidRDefault="00CE4227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935CBD" w:rsidRPr="00493C33" w:rsidRDefault="00CE4227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5</w:t>
            </w:r>
          </w:p>
        </w:tc>
        <w:tc>
          <w:tcPr>
            <w:tcW w:w="992" w:type="dxa"/>
            <w:noWrap/>
            <w:vAlign w:val="center"/>
          </w:tcPr>
          <w:p w:rsidR="00935CBD" w:rsidRPr="00493C33" w:rsidRDefault="00CE4227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CE4227" w:rsidRPr="00493C33" w:rsidRDefault="00CE4227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>
              <w:rPr>
                <w:b/>
                <w:bCs/>
                <w:lang w:val="ro-MD" w:eastAsia="ru-RU"/>
              </w:rPr>
              <w:t>202</w:t>
            </w:r>
            <w:r w:rsidR="0068615C">
              <w:rPr>
                <w:b/>
                <w:bCs/>
                <w:lang w:val="ro-MD" w:eastAsia="ru-RU"/>
              </w:rPr>
              <w:t>7</w:t>
            </w:r>
          </w:p>
        </w:tc>
      </w:tr>
      <w:tr w:rsidR="00420C14" w:rsidRPr="00364559" w:rsidTr="00646B03">
        <w:trPr>
          <w:trHeight w:val="234"/>
          <w:tblHeader/>
          <w:jc w:val="center"/>
        </w:trPr>
        <w:tc>
          <w:tcPr>
            <w:tcW w:w="2970" w:type="dxa"/>
            <w:vAlign w:val="bottom"/>
          </w:tcPr>
          <w:p w:rsidR="00420C14" w:rsidRPr="00493C33" w:rsidRDefault="00420C14" w:rsidP="00B5348C">
            <w:pPr>
              <w:ind w:firstLine="0"/>
              <w:rPr>
                <w:b/>
                <w:bCs/>
                <w:lang w:val="ro-MD" w:eastAsia="ru-RU"/>
              </w:rPr>
            </w:pPr>
          </w:p>
        </w:tc>
        <w:tc>
          <w:tcPr>
            <w:tcW w:w="1135" w:type="dxa"/>
            <w:vAlign w:val="bottom"/>
          </w:tcPr>
          <w:p w:rsidR="00420C14" w:rsidRPr="00493C33" w:rsidRDefault="00420C14" w:rsidP="00B5348C">
            <w:pPr>
              <w:ind w:firstLine="0"/>
              <w:jc w:val="center"/>
              <w:rPr>
                <w:lang w:val="ro-MD" w:eastAsia="ru-RU"/>
              </w:rPr>
            </w:pPr>
          </w:p>
        </w:tc>
        <w:tc>
          <w:tcPr>
            <w:tcW w:w="2553" w:type="dxa"/>
            <w:gridSpan w:val="3"/>
            <w:vAlign w:val="center"/>
          </w:tcPr>
          <w:p w:rsidR="00420C14" w:rsidRPr="00493C33" w:rsidRDefault="00420C14" w:rsidP="00935CBD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Efectiv</w:t>
            </w:r>
          </w:p>
        </w:tc>
        <w:tc>
          <w:tcPr>
            <w:tcW w:w="3827" w:type="dxa"/>
            <w:gridSpan w:val="4"/>
            <w:vAlign w:val="center"/>
          </w:tcPr>
          <w:p w:rsidR="00420C14" w:rsidRPr="00493C33" w:rsidRDefault="00420C14" w:rsidP="000E7CDB">
            <w:pPr>
              <w:ind w:firstLine="0"/>
              <w:jc w:val="center"/>
              <w:rPr>
                <w:b/>
                <w:bCs/>
                <w:sz w:val="18"/>
                <w:szCs w:val="18"/>
                <w:lang w:val="ro-MD" w:eastAsia="ru-RU"/>
              </w:rPr>
            </w:pPr>
            <w:r w:rsidRPr="00493C33">
              <w:rPr>
                <w:b/>
                <w:bCs/>
                <w:sz w:val="18"/>
                <w:szCs w:val="18"/>
                <w:lang w:val="ro-MD" w:eastAsia="ru-RU"/>
              </w:rPr>
              <w:t>Prognoză</w:t>
            </w:r>
          </w:p>
        </w:tc>
      </w:tr>
      <w:tr w:rsidR="0068615C" w:rsidRPr="00364559" w:rsidTr="00646B03">
        <w:trPr>
          <w:trHeight w:val="234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 xml:space="preserve">Produsul intern brut </w:t>
            </w:r>
            <w:r w:rsidRPr="00493C33">
              <w:rPr>
                <w:b/>
                <w:lang w:val="ro-MD" w:eastAsia="ru-RU"/>
              </w:rPr>
              <w:t>nominal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242,1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152271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274,</w:t>
            </w:r>
            <w:r w:rsidR="00152271">
              <w:rPr>
                <w:lang w:val="ro-MD"/>
              </w:rPr>
              <w:t>5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152271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300</w:t>
            </w:r>
            <w:r w:rsidR="0068615C">
              <w:rPr>
                <w:lang w:val="ro-MD"/>
              </w:rPr>
              <w:t>,</w:t>
            </w:r>
            <w:r>
              <w:rPr>
                <w:lang w:val="ro-MD"/>
              </w:rPr>
              <w:t>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320,6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348,4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381,0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416,0</w:t>
            </w:r>
          </w:p>
        </w:tc>
      </w:tr>
      <w:tr w:rsidR="0068615C" w:rsidRPr="00364559" w:rsidTr="00646B03">
        <w:trPr>
          <w:trHeight w:val="76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9D730F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95,</w:t>
            </w:r>
            <w:r w:rsidR="009D730F">
              <w:rPr>
                <w:lang w:val="ro-MD"/>
              </w:rPr>
              <w:t>4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100,7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102,5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103,7</w:t>
            </w:r>
          </w:p>
        </w:tc>
      </w:tr>
      <w:tr w:rsidR="0068615C" w:rsidRPr="00364559" w:rsidTr="00646B03">
        <w:trPr>
          <w:trHeight w:val="504"/>
          <w:jc w:val="center"/>
        </w:trPr>
        <w:tc>
          <w:tcPr>
            <w:tcW w:w="2970" w:type="dxa"/>
            <w:vAlign w:val="bottom"/>
          </w:tcPr>
          <w:p w:rsidR="0068615C" w:rsidRPr="000E7CDB" w:rsidRDefault="0068615C" w:rsidP="0068615C">
            <w:pPr>
              <w:ind w:firstLine="0"/>
              <w:rPr>
                <w:b/>
                <w:bCs/>
                <w:vertAlign w:val="superscript"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Indicele prețurilor de consum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 </w:t>
            </w:r>
          </w:p>
        </w:tc>
        <w:tc>
          <w:tcPr>
            <w:tcW w:w="851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0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1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  <w:noWrap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</w:tr>
      <w:tr w:rsidR="0068615C" w:rsidRPr="00364559" w:rsidTr="00646B03">
        <w:trPr>
          <w:trHeight w:val="73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mediu anual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128,7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113,4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104,8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104,6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68615C" w:rsidRPr="00364559" w:rsidTr="00646B03">
        <w:trPr>
          <w:trHeight w:val="168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la sfârșitul anului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113,9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130,2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106,1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104,6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105,0</w:t>
            </w:r>
          </w:p>
        </w:tc>
      </w:tr>
      <w:tr w:rsidR="0068615C" w:rsidRPr="00364559" w:rsidTr="00646B03">
        <w:trPr>
          <w:trHeight w:val="233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Cursul de schimb al leului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 </w:t>
            </w:r>
          </w:p>
        </w:tc>
        <w:tc>
          <w:tcPr>
            <w:tcW w:w="851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0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851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  <w:noWrap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  <w:tc>
          <w:tcPr>
            <w:tcW w:w="992" w:type="dxa"/>
            <w:shd w:val="clear" w:color="auto" w:fill="FFFFFF"/>
          </w:tcPr>
          <w:p w:rsidR="0068615C" w:rsidRPr="00493C33" w:rsidRDefault="0068615C" w:rsidP="0068615C">
            <w:pPr>
              <w:rPr>
                <w:lang w:val="ro-MD"/>
              </w:rPr>
            </w:pP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mediu anual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17,69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18,90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18,16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18,01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18,26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18,47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18,67</w:t>
            </w:r>
          </w:p>
        </w:tc>
      </w:tr>
      <w:tr w:rsidR="0068615C" w:rsidRPr="00364559" w:rsidTr="00646B03">
        <w:trPr>
          <w:trHeight w:val="61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 la sfârșitul anului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MDL/USD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17,75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19,16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17,41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18,09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18,38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18,59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18,84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Exporturi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3145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4332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4049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3600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3920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4200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4470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127,5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137,8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93,5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88,9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108,9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107,1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106,4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Importuri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7177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9219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8676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8950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9500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9980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10450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132,5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128,5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94,1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103,2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106,1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105,1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104,7</w:t>
            </w:r>
          </w:p>
        </w:tc>
      </w:tr>
      <w:tr w:rsidR="0068615C" w:rsidRPr="00364559" w:rsidTr="00646B03">
        <w:trPr>
          <w:trHeight w:val="278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Soldul balanței comerciale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mil.USD</w:t>
            </w:r>
            <w:proofErr w:type="spellEnd"/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-4032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-4887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-4627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-5350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-5580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-5780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-5980</w:t>
            </w:r>
          </w:p>
        </w:tc>
      </w:tr>
      <w:tr w:rsidR="0068615C" w:rsidRPr="00364559" w:rsidTr="00646B03">
        <w:trPr>
          <w:trHeight w:val="409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jc w:val="left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industrială</w:t>
            </w:r>
            <w:r w:rsidRPr="00493C33">
              <w:rPr>
                <w:lang w:val="ro-MD" w:eastAsia="ru-RU"/>
              </w:rPr>
              <w:t xml:space="preserve"> 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70,6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85,5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87,6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87,7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94,0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108,0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94,9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96,4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103,5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Producția agricolă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48,4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41,0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41,8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33,9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36,2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38,9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40,5</w:t>
            </w:r>
          </w:p>
        </w:tc>
      </w:tr>
      <w:tr w:rsidR="0068615C" w:rsidRPr="00364559" w:rsidTr="00646B03">
        <w:trPr>
          <w:trHeight w:val="82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comparabile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158,0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70,8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124,5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90,0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101,5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102,0</w:t>
            </w:r>
          </w:p>
        </w:tc>
      </w:tr>
      <w:tr w:rsidR="0068615C" w:rsidRPr="00364559" w:rsidTr="00646B03">
        <w:trPr>
          <w:trHeight w:val="103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Investiții în active imobilizate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35,4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bookmarkStart w:id="0" w:name="_GoBack"/>
            <w:bookmarkEnd w:id="0"/>
            <w:r>
              <w:rPr>
                <w:lang w:val="ro-MD"/>
              </w:rPr>
              <w:t>37,1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38,4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40,3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44,1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48,2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51,5</w:t>
            </w:r>
          </w:p>
        </w:tc>
      </w:tr>
      <w:tr w:rsidR="0068615C" w:rsidRPr="00364559" w:rsidTr="00646B03">
        <w:trPr>
          <w:trHeight w:val="277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 xml:space="preserve">   față de anul precedent în prețuri  comparabile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88,1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99,0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103,3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103,7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Salariul nominal mediu lunar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8980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10447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12209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14300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16100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17800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19500</w:t>
            </w:r>
          </w:p>
        </w:tc>
      </w:tr>
      <w:tr w:rsidR="0068615C" w:rsidRPr="00757892" w:rsidTr="00646B03">
        <w:trPr>
          <w:trHeight w:val="316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113,1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116,3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152271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116,9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117,1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112,6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110,6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109,6</w:t>
            </w:r>
          </w:p>
        </w:tc>
      </w:tr>
      <w:tr w:rsidR="0068615C" w:rsidRPr="00364559" w:rsidTr="00646B03">
        <w:trPr>
          <w:trHeight w:val="315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107,6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90,4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111,8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107,6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104,3</w:t>
            </w:r>
          </w:p>
        </w:tc>
      </w:tr>
      <w:tr w:rsidR="0068615C" w:rsidRPr="00364559" w:rsidTr="00646B03">
        <w:trPr>
          <w:trHeight w:val="199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</w:p>
          <w:p w:rsidR="0068615C" w:rsidRPr="00493C33" w:rsidRDefault="0068615C" w:rsidP="0068615C">
            <w:pPr>
              <w:ind w:firstLine="0"/>
              <w:rPr>
                <w:b/>
                <w:bCs/>
                <w:lang w:val="ro-MD" w:eastAsia="ru-RU"/>
              </w:rPr>
            </w:pPr>
            <w:r w:rsidRPr="00493C33">
              <w:rPr>
                <w:b/>
                <w:bCs/>
                <w:lang w:val="ro-MD" w:eastAsia="ru-RU"/>
              </w:rPr>
              <w:t>Fondul de remunerare a muncii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proofErr w:type="spellStart"/>
            <w:r w:rsidRPr="00493C33">
              <w:rPr>
                <w:lang w:val="ro-MD" w:eastAsia="ru-RU"/>
              </w:rPr>
              <w:t>mild</w:t>
            </w:r>
            <w:proofErr w:type="spellEnd"/>
            <w:r w:rsidRPr="00493C33">
              <w:rPr>
                <w:lang w:val="ro-MD" w:eastAsia="ru-RU"/>
              </w:rPr>
              <w:t>. lei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67,1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78,2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91,8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107,8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121,5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2E361C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134,6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left="3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147,8</w:t>
            </w:r>
          </w:p>
        </w:tc>
      </w:tr>
      <w:tr w:rsidR="0068615C" w:rsidRPr="00364559" w:rsidTr="00646B03">
        <w:trPr>
          <w:trHeight w:val="348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față de anul precedent: nominal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117,0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116,5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117,4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117,5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112,7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110,8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109,8</w:t>
            </w:r>
          </w:p>
        </w:tc>
      </w:tr>
      <w:tr w:rsidR="0068615C" w:rsidRPr="00364559" w:rsidTr="00646B03">
        <w:trPr>
          <w:trHeight w:val="60"/>
          <w:jc w:val="center"/>
        </w:trPr>
        <w:tc>
          <w:tcPr>
            <w:tcW w:w="2970" w:type="dxa"/>
            <w:vAlign w:val="bottom"/>
          </w:tcPr>
          <w:p w:rsidR="0068615C" w:rsidRPr="00493C33" w:rsidRDefault="0068615C" w:rsidP="0068615C">
            <w:pPr>
              <w:ind w:firstLine="0"/>
              <w:jc w:val="right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real</w:t>
            </w:r>
          </w:p>
        </w:tc>
        <w:tc>
          <w:tcPr>
            <w:tcW w:w="1135" w:type="dxa"/>
            <w:vAlign w:val="bottom"/>
          </w:tcPr>
          <w:p w:rsidR="0068615C" w:rsidRPr="00493C33" w:rsidRDefault="0068615C" w:rsidP="0068615C">
            <w:pPr>
              <w:ind w:firstLine="0"/>
              <w:jc w:val="center"/>
              <w:rPr>
                <w:lang w:val="ro-MD" w:eastAsia="ru-RU"/>
              </w:rPr>
            </w:pPr>
            <w:r w:rsidRPr="00493C33">
              <w:rPr>
                <w:lang w:val="ro-MD" w:eastAsia="ru-RU"/>
              </w:rPr>
              <w:t>%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111,3</w:t>
            </w:r>
          </w:p>
        </w:tc>
        <w:tc>
          <w:tcPr>
            <w:tcW w:w="850" w:type="dxa"/>
            <w:shd w:val="clear" w:color="auto" w:fill="FFFFFF"/>
            <w:vAlign w:val="bottom"/>
          </w:tcPr>
          <w:p w:rsidR="0068615C" w:rsidRPr="00493C33" w:rsidRDefault="0068615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90,5</w:t>
            </w:r>
          </w:p>
        </w:tc>
        <w:tc>
          <w:tcPr>
            <w:tcW w:w="85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103,5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112,1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firstLine="0"/>
              <w:jc w:val="right"/>
              <w:rPr>
                <w:lang w:val="ro-MD"/>
              </w:rPr>
            </w:pPr>
            <w:r>
              <w:rPr>
                <w:lang w:val="ro-MD"/>
              </w:rPr>
              <w:t>107,7</w:t>
            </w:r>
          </w:p>
        </w:tc>
        <w:tc>
          <w:tcPr>
            <w:tcW w:w="992" w:type="dxa"/>
            <w:shd w:val="clear" w:color="auto" w:fill="FFFFFF"/>
            <w:noWrap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105,5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68615C" w:rsidRPr="00493C33" w:rsidRDefault="002E361C" w:rsidP="0068615C">
            <w:pPr>
              <w:spacing w:line="240" w:lineRule="exact"/>
              <w:ind w:left="200" w:firstLine="0"/>
              <w:jc w:val="left"/>
              <w:rPr>
                <w:lang w:val="ro-MD"/>
              </w:rPr>
            </w:pPr>
            <w:r>
              <w:rPr>
                <w:lang w:val="ro-MD"/>
              </w:rPr>
              <w:t>104,6</w:t>
            </w:r>
          </w:p>
        </w:tc>
      </w:tr>
    </w:tbl>
    <w:p w:rsidR="00FE5B11" w:rsidRPr="00493C33" w:rsidRDefault="00FE5B11" w:rsidP="00154450">
      <w:pPr>
        <w:ind w:left="-426" w:right="-755" w:firstLine="0"/>
        <w:rPr>
          <w:lang w:val="ro-MD"/>
        </w:rPr>
      </w:pPr>
    </w:p>
    <w:sectPr w:rsidR="00FE5B11" w:rsidRPr="00493C33" w:rsidSect="00935CBD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149"/>
    <w:rsid w:val="00084E66"/>
    <w:rsid w:val="000921FF"/>
    <w:rsid w:val="000E31DF"/>
    <w:rsid w:val="000E7CDB"/>
    <w:rsid w:val="00152271"/>
    <w:rsid w:val="00154450"/>
    <w:rsid w:val="001752E8"/>
    <w:rsid w:val="00184D44"/>
    <w:rsid w:val="002634FB"/>
    <w:rsid w:val="002E361C"/>
    <w:rsid w:val="0037572F"/>
    <w:rsid w:val="003E45C4"/>
    <w:rsid w:val="00420C14"/>
    <w:rsid w:val="00421EB7"/>
    <w:rsid w:val="00486A96"/>
    <w:rsid w:val="00493C33"/>
    <w:rsid w:val="004954E7"/>
    <w:rsid w:val="004D127C"/>
    <w:rsid w:val="005B7F79"/>
    <w:rsid w:val="00646B03"/>
    <w:rsid w:val="0068615C"/>
    <w:rsid w:val="006E3432"/>
    <w:rsid w:val="007820A0"/>
    <w:rsid w:val="007C0D91"/>
    <w:rsid w:val="00935CBD"/>
    <w:rsid w:val="009A2AAA"/>
    <w:rsid w:val="009D730F"/>
    <w:rsid w:val="00A91134"/>
    <w:rsid w:val="00B83780"/>
    <w:rsid w:val="00BB7D94"/>
    <w:rsid w:val="00BF3591"/>
    <w:rsid w:val="00C6459C"/>
    <w:rsid w:val="00CB11E3"/>
    <w:rsid w:val="00CC0EFC"/>
    <w:rsid w:val="00CE4227"/>
    <w:rsid w:val="00D620E3"/>
    <w:rsid w:val="00EC20CD"/>
    <w:rsid w:val="00EC6149"/>
    <w:rsid w:val="00EE300E"/>
    <w:rsid w:val="00F200A5"/>
    <w:rsid w:val="00F36599"/>
    <w:rsid w:val="00FB286F"/>
    <w:rsid w:val="00FD2978"/>
    <w:rsid w:val="00FE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396B"/>
  <w15:chartTrackingRefBased/>
  <w15:docId w15:val="{58874817-E2D8-4D85-BD35-D19642135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1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Bodytext2">
    <w:name w:val="Body text (2)_"/>
    <w:basedOn w:val="Fontdeparagrafimplicit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20">
    <w:name w:val="Body text (2)"/>
    <w:basedOn w:val="Bodytext2"/>
    <w:rsid w:val="00493C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character" w:styleId="Hyperlink">
    <w:name w:val="Hyperlink"/>
    <w:basedOn w:val="Fontdeparagrafimplicit"/>
    <w:uiPriority w:val="99"/>
    <w:unhideWhenUsed/>
    <w:rsid w:val="00CB11E3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CB11E3"/>
    <w:rPr>
      <w:color w:val="954F72" w:themeColor="followed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297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297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Raicu Maria</cp:lastModifiedBy>
  <cp:revision>7</cp:revision>
  <cp:lastPrinted>2023-11-25T13:29:00Z</cp:lastPrinted>
  <dcterms:created xsi:type="dcterms:W3CDTF">2024-11-25T13:43:00Z</dcterms:created>
  <dcterms:modified xsi:type="dcterms:W3CDTF">2024-11-25T13:48:00Z</dcterms:modified>
</cp:coreProperties>
</file>